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>Lääkemääräyksen CDA R2 Header</w:t>
      </w:r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4F83436D" w:rsidR="00522FC1" w:rsidRDefault="00522FC1">
      <w:pPr>
        <w:jc w:val="center"/>
      </w:pPr>
      <w:del w:id="0" w:author="Pettersson Mirkka" w:date="2024-09-17T08:08:00Z">
        <w:r w:rsidRPr="00D07071" w:rsidDel="00A9479A">
          <w:delText xml:space="preserve">V </w:delText>
        </w:r>
        <w:r w:rsidR="00FE1FE7" w:rsidDel="00A9479A">
          <w:delText>4.</w:delText>
        </w:r>
        <w:r w:rsidR="005A5D03" w:rsidDel="00A9479A">
          <w:delText>1</w:delText>
        </w:r>
        <w:r w:rsidR="00FE1FE7" w:rsidDel="00A9479A">
          <w:delText>.1.</w:delText>
        </w:r>
      </w:del>
      <w:ins w:id="1" w:author="Pettersson Mirkka" w:date="2024-09-17T08:08:00Z">
        <w:r w:rsidR="00A9479A">
          <w:t>V4.3.0</w:t>
        </w:r>
      </w:ins>
    </w:p>
    <w:p w14:paraId="0D76E53D" w14:textId="3151456A" w:rsidR="00522FC1" w:rsidRPr="00746D1D" w:rsidRDefault="007F5218">
      <w:pPr>
        <w:jc w:val="center"/>
      </w:pPr>
      <w:del w:id="2" w:author="Pettersson Mirkka" w:date="2024-09-17T08:08:00Z">
        <w:r w:rsidDel="00A9479A">
          <w:delText>23.1.2024</w:delText>
        </w:r>
      </w:del>
      <w:ins w:id="3" w:author="Pettersson Mirkka" w:date="2024-09-20T10:03:00Z">
        <w:r w:rsidR="00B25C66">
          <w:t>20</w:t>
        </w:r>
      </w:ins>
      <w:ins w:id="4" w:author="Pettersson Mirkka" w:date="2024-09-17T08:08:00Z">
        <w:r w:rsidR="00A9479A">
          <w:t>.9.2024</w:t>
        </w:r>
      </w:ins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21496F" w:rsidRDefault="00522FC1">
      <w:pPr>
        <w:jc w:val="center"/>
        <w:rPr>
          <w:sz w:val="32"/>
          <w:szCs w:val="32"/>
        </w:rPr>
      </w:pPr>
      <w:r w:rsidRPr="0021496F">
        <w:rPr>
          <w:sz w:val="32"/>
          <w:szCs w:val="32"/>
        </w:rPr>
        <w:t xml:space="preserve">OID: </w:t>
      </w:r>
      <w:r w:rsidR="008F5A2F" w:rsidRPr="0021496F">
        <w:rPr>
          <w:sz w:val="32"/>
          <w:szCs w:val="32"/>
        </w:rPr>
        <w:t>1.2.246.777.11.2020.2</w:t>
      </w:r>
      <w:r w:rsidR="00587D76">
        <w:fldChar w:fldCharType="begin"/>
      </w:r>
      <w:r w:rsidR="00587D76" w:rsidRPr="0021496F">
        <w:instrText xml:space="preserve"> DOCPROPERTY  OID  \* MERGEFORMAT </w:instrText>
      </w:r>
      <w:r w:rsidR="00587D76">
        <w:fldChar w:fldCharType="end"/>
      </w:r>
    </w:p>
    <w:p w14:paraId="1865086F" w14:textId="77777777" w:rsidR="00522FC1" w:rsidRPr="0021496F" w:rsidRDefault="00522FC1">
      <w:pPr>
        <w:jc w:val="center"/>
        <w:rPr>
          <w:sz w:val="32"/>
          <w:szCs w:val="32"/>
        </w:rPr>
      </w:pPr>
    </w:p>
    <w:p w14:paraId="4CBFE6FB" w14:textId="77777777" w:rsidR="00522FC1" w:rsidRPr="0021496F" w:rsidRDefault="00522FC1">
      <w:pPr>
        <w:jc w:val="center"/>
      </w:pPr>
    </w:p>
    <w:p w14:paraId="1B6697F7" w14:textId="77777777" w:rsidR="00522FC1" w:rsidRPr="0021496F" w:rsidRDefault="00522FC1">
      <w:pPr>
        <w:jc w:val="center"/>
      </w:pPr>
    </w:p>
    <w:p w14:paraId="55618AEF" w14:textId="77777777" w:rsidR="00522FC1" w:rsidRPr="0021496F" w:rsidRDefault="00522FC1">
      <w:r w:rsidRPr="0021496F"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B25C66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B25C66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B25C66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B25C6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B25C66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A.Ension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äänestyskierroksen kommenttien ja KELAn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headeriin informationRecipient ja sen pakollisuus sekä relatedDocument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annosjakelu ja sen purku sekä author-toistuma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hasPart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replaceksi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Huuskon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(Xpath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algoritmit  </w:t>
            </w:r>
            <w:r w:rsidR="004C17FD" w:rsidRPr="003D5FC1">
              <w:rPr>
                <w:sz w:val="22"/>
                <w:szCs w:val="22"/>
              </w:rPr>
              <w:t>(</w:t>
            </w:r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sender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Todettu että tulostusformaattien ja lokikyselyn osalta ei käytetä CDA R2 headeria.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Dokumenttia on päivitetty errata-dokumentin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author-elementin tarkennus. Tarkennettu componentOf-rakennetta.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Omakannan ja yksityisten liittymismallin mukaiset organisaatiotiedot author- ja componentOf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authorin yksilöintiin terhikkinumero</w:t>
            </w:r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SoftwareSupport-tiedon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>sätty taulukot recordTargetin,</w:t>
            </w:r>
            <w:r w:rsidRPr="003D5FC1">
              <w:rPr>
                <w:sz w:val="22"/>
                <w:szCs w:val="22"/>
              </w:rPr>
              <w:t xml:space="preserve"> authorin</w:t>
            </w:r>
            <w:r w:rsidR="00BC4C4D" w:rsidRPr="003D5FC1">
              <w:rPr>
                <w:sz w:val="22"/>
                <w:szCs w:val="22"/>
              </w:rPr>
              <w:t xml:space="preserve"> ja componentO</w:t>
            </w:r>
            <w:r w:rsidR="00353C15" w:rsidRPr="003D5FC1">
              <w:rPr>
                <w:sz w:val="22"/>
                <w:szCs w:val="22"/>
              </w:rPr>
              <w:t>f</w:t>
            </w:r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tarkennukset authorin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root-attribuuttiin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aikavyöhyketieto effectiveTime-elementtiin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(authorization)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tarkennettu authorization-tiedon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>lisätty authorization-rakenteessa puuttunut templateId</w:t>
            </w:r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>
              <w:t>-</w:t>
            </w:r>
            <w:r>
              <w:rPr>
                <w:sz w:val="22"/>
                <w:szCs w:val="22"/>
              </w:rPr>
              <w:t xml:space="preserve"> Lopullinen määrittelyversio, release candidate-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>- Korjattu s. 30 ja 31 kuvat, lisätty ”Korjattu lääkemääräys ja sen linkit” ja ”Korjatun lääkemääräyksen toimitus ja sen linkit” kuviin relatedDocument –tieto.</w:t>
            </w:r>
          </w:p>
        </w:tc>
      </w:tr>
      <w:tr w:rsidR="00F522B8" w14:paraId="4230272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D5B9" w14:textId="41825404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295" w14:textId="0C275060" w:rsidR="00F522B8" w:rsidRDefault="0021496F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E8F2" w14:textId="64A98E4A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516" w14:textId="6CFA87EC" w:rsidR="00FE1FE7" w:rsidRDefault="00FE1FE7" w:rsidP="00FE1FE7">
            <w:r>
              <w:t xml:space="preserve">- </w:t>
            </w:r>
            <w:r w:rsidR="00F522B8" w:rsidRPr="001D7726">
              <w:rPr>
                <w:sz w:val="22"/>
                <w:szCs w:val="22"/>
              </w:rPr>
              <w:t>Tarkennettu effectiveTimen määrittelyä</w:t>
            </w:r>
            <w:r w:rsidR="006F3831" w:rsidRPr="001D7726">
              <w:rPr>
                <w:sz w:val="22"/>
                <w:szCs w:val="22"/>
              </w:rPr>
              <w:t>, päivitetty allekirjoitus –kohdan (3.12) linkki</w:t>
            </w:r>
            <w:r w:rsidR="00F522B8">
              <w:t xml:space="preserve"> </w:t>
            </w:r>
          </w:p>
        </w:tc>
      </w:tr>
      <w:tr w:rsidR="005A5D03" w14:paraId="63515B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4AE0" w14:textId="1B4F6E5F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BF1" w14:textId="6542878E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213" w14:textId="66C09E2D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0C0" w14:textId="14271103" w:rsidR="005A5D03" w:rsidRDefault="005A5D03" w:rsidP="00FE1FE7">
            <w:r>
              <w:t>Ei muutoksia</w:t>
            </w:r>
          </w:p>
        </w:tc>
      </w:tr>
      <w:tr w:rsidR="00026C2C" w14:paraId="4D8FCF6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DC38" w14:textId="1C2B5B3E" w:rsidR="00026C2C" w:rsidRDefault="00026C2C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2790" w14:textId="1DFE2593" w:rsidR="00026C2C" w:rsidRDefault="00026C2C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8347" w14:textId="309742AA" w:rsidR="00026C2C" w:rsidRDefault="00026C2C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E49B" w14:textId="494C72A8" w:rsidR="00026C2C" w:rsidRDefault="00026C2C" w:rsidP="00FE1FE7">
            <w:r>
              <w:t>Ei muutoksia</w:t>
            </w:r>
          </w:p>
        </w:tc>
      </w:tr>
      <w:tr w:rsidR="00A9479A" w14:paraId="7E6F753D" w14:textId="77777777" w:rsidTr="00C778EA">
        <w:trPr>
          <w:ins w:id="5" w:author="Pettersson Mirkka" w:date="2024-09-17T08:08:00Z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6A4" w14:textId="2886D27D" w:rsidR="00A9479A" w:rsidRDefault="00A9479A" w:rsidP="00783547">
            <w:pPr>
              <w:rPr>
                <w:ins w:id="6" w:author="Pettersson Mirkka" w:date="2024-09-17T08:08:00Z"/>
                <w:sz w:val="22"/>
                <w:szCs w:val="22"/>
              </w:rPr>
            </w:pPr>
            <w:ins w:id="7" w:author="Pettersson Mirkka" w:date="2024-09-17T08:08:00Z">
              <w:r>
                <w:rPr>
                  <w:sz w:val="22"/>
                  <w:szCs w:val="22"/>
                </w:rPr>
                <w:t>4.3.0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DA67" w14:textId="79638D20" w:rsidR="00A9479A" w:rsidRDefault="00B25C66" w:rsidP="00783547">
            <w:pPr>
              <w:rPr>
                <w:ins w:id="8" w:author="Pettersson Mirkka" w:date="2024-09-17T08:08:00Z"/>
                <w:sz w:val="22"/>
                <w:szCs w:val="22"/>
              </w:rPr>
            </w:pPr>
            <w:ins w:id="9" w:author="Pettersson Mirkka" w:date="2024-09-20T10:03:00Z">
              <w:r>
                <w:rPr>
                  <w:sz w:val="22"/>
                  <w:szCs w:val="22"/>
                </w:rPr>
                <w:t>20</w:t>
              </w:r>
            </w:ins>
            <w:ins w:id="10" w:author="Pettersson Mirkka" w:date="2024-09-17T08:08:00Z">
              <w:r w:rsidR="00A9479A">
                <w:rPr>
                  <w:sz w:val="22"/>
                  <w:szCs w:val="22"/>
                </w:rPr>
                <w:t>.9.2024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7FAE" w14:textId="2B45382F" w:rsidR="00A9479A" w:rsidRDefault="00A9479A" w:rsidP="00783547">
            <w:pPr>
              <w:rPr>
                <w:ins w:id="11" w:author="Pettersson Mirkka" w:date="2024-09-17T08:08:00Z"/>
                <w:sz w:val="22"/>
                <w:szCs w:val="22"/>
              </w:rPr>
            </w:pPr>
            <w:ins w:id="12" w:author="Pettersson Mirkka" w:date="2024-09-17T08:09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FD04" w14:textId="17E4D51C" w:rsidR="00A9479A" w:rsidRDefault="00A9479A" w:rsidP="00FE1FE7">
            <w:pPr>
              <w:rPr>
                <w:ins w:id="13" w:author="Pettersson Mirkka" w:date="2024-09-17T08:08:00Z"/>
              </w:rPr>
            </w:pPr>
            <w:ins w:id="14" w:author="Pettersson Mirkka" w:date="2024-09-17T08:09:00Z">
              <w:r>
                <w:t>Ei muutoksia</w:t>
              </w:r>
            </w:ins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>TT = Timo Tarhonen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>TOT = Timo Tarhonen</w:t>
      </w:r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r w:rsidR="003B730B">
        <w:t xml:space="preserve">eResepti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Suna</w:t>
      </w:r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lastRenderedPageBreak/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15" w:name="_Toc155024577"/>
      <w:bookmarkStart w:id="16" w:name="_Toc36296548"/>
      <w:r>
        <w:lastRenderedPageBreak/>
        <w:t>Johdanto</w:t>
      </w:r>
      <w:bookmarkEnd w:id="15"/>
      <w:bookmarkEnd w:id="16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>Tässä dokumentissa kuvataan CDA R2 Header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17" w:name="_Toc155024578"/>
      <w:bookmarkStart w:id="18" w:name="_Toc36296549"/>
      <w:r>
        <w:lastRenderedPageBreak/>
        <w:t xml:space="preserve">Headerin elementit </w:t>
      </w:r>
      <w:r w:rsidR="00FA0E9C">
        <w:t>r</w:t>
      </w:r>
      <w:r>
        <w:t>eseptissä</w:t>
      </w:r>
      <w:bookmarkEnd w:id="17"/>
      <w:bookmarkEnd w:id="18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>. Headerin elementtejä, joita tässä taulukossa ei ole mainittu, ei näissä sanomissa käytetä. Jos elementti on annettu, sen on noudatettava CDA R2 Header-määritystä.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>Mikäli toteutuksessa on huomioitava yksityisen terveydenhuollon liittymismallit, niin organisaatiotietojen osalta (rakenteissa author/representedOrganization sekä componentOf/encompassingEncounter/location) lukijaa kehotetaan katsomaan elementtien oikea tulkinta tätä koskevasta määrittelystä kanta.fi:stä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>Seuraavat asiakirjatyypit eivät ole CDA R2 dokumentteja ja niiden yhteydessä ei ole CDA R2 headeria: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r>
              <w:t>realmCode</w:t>
            </w:r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r>
              <w:t>typeId</w:t>
            </w:r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r w:rsidR="00027358">
              <w:rPr>
                <w:lang w:val="en-GB"/>
              </w:rPr>
              <w:t xml:space="preserve">versio. </w:t>
            </w:r>
            <w:r w:rsidRPr="00FC69B0">
              <w:rPr>
                <w:lang w:val="en-GB"/>
              </w:rPr>
              <w:t xml:space="preserve">Vakioarvo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r>
              <w:t>templateId</w:t>
            </w:r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Headerin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root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r>
              <w:t>code</w:t>
            </w:r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r>
              <w:t>title</w:t>
            </w:r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r>
              <w:t>effectiveTime</w:t>
            </w:r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r>
              <w:t>confidentialityCode</w:t>
            </w:r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r>
              <w:rPr>
                <w:rStyle w:val="XML10ptDarkRed"/>
                <w:highlight w:val="white"/>
              </w:rPr>
              <w:t>confidentialityCode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</w:t>
            </w:r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codeSystemName</w:t>
            </w:r>
            <w:r>
              <w:rPr>
                <w:rStyle w:val="XML10ptBlue"/>
                <w:highlight w:val="white"/>
              </w:rPr>
              <w:t>="</w:t>
            </w:r>
            <w:r w:rsidRPr="00DD415D">
              <w:rPr>
                <w:rStyle w:val="XML10ptBlack"/>
                <w:highlight w:val="white"/>
              </w:rPr>
              <w:t>KanTa-palvelut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displayName</w:t>
            </w:r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Terveydenhuollon salassapidettävä</w:t>
            </w:r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r>
              <w:lastRenderedPageBreak/>
              <w:t>languageCode</w:t>
            </w:r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r>
              <w:rPr>
                <w:rStyle w:val="XML10ptDarkRed"/>
                <w:highlight w:val="white"/>
              </w:rPr>
              <w:t>languageCode</w:t>
            </w:r>
            <w:r>
              <w:rPr>
                <w:rStyle w:val="XML10ptRed"/>
                <w:highlight w:val="white"/>
              </w:rPr>
              <w:t xml:space="preserve"> 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fi</w:t>
            </w:r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r>
              <w:t>setId</w:t>
            </w:r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r>
              <w:t>versionNumber</w:t>
            </w:r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r>
              <w:t>recordTarget</w:t>
            </w:r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r>
              <w:t>author</w:t>
            </w:r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r>
              <w:t>informationRecipient</w:t>
            </w:r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r>
              <w:t>relatedDocument</w:t>
            </w:r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r w:rsidRPr="00D87938">
              <w:t>authorization</w:t>
            </w:r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r>
              <w:t>componentOf</w:t>
            </w:r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1EC5EAA2" w:rsidR="002F4E86" w:rsidRDefault="002F4E86">
            <w:r>
              <w:lastRenderedPageBreak/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 xml:space="preserve">hl7fi:softwareSupport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hl7fi:hasPart</w:t>
            </w:r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componentOf-elementtiin,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19" w:name="_Toc155024579"/>
      <w:bookmarkStart w:id="20" w:name="_Toc36296550"/>
      <w:r>
        <w:lastRenderedPageBreak/>
        <w:t>Elementtikohtaiset määrittelyt</w:t>
      </w:r>
      <w:bookmarkEnd w:id="19"/>
      <w:bookmarkEnd w:id="20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21" w:name="_Ref151790216"/>
      <w:bookmarkStart w:id="22" w:name="_Toc155024580"/>
      <w:bookmarkStart w:id="23" w:name="_Toc36296551"/>
      <w:r>
        <w:t>id – asiakirjan tunniste</w:t>
      </w:r>
      <w:bookmarkEnd w:id="21"/>
      <w:bookmarkEnd w:id="22"/>
      <w:bookmarkEnd w:id="23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r>
        <w:t xml:space="preserve">yyy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  <w:r w:rsidR="00E759E1">
        <w:t>/Fimean</w:t>
      </w:r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>Apteekkinumero esitetään muodossa nnnnxx, missä nnnn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r w:rsidR="002E7D6E">
        <w:t>sv-numeron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root-attribuuttiin, ellei HL7n tuleva tietotyyppimääritys muuta edellytä. </w:t>
      </w:r>
      <w:r w:rsidR="001F7050">
        <w:t>Mikään OID:n solmuluokista ei saa alkaa nollalla eli esim. y-tunnuksessa ja yksilöintitunnuksessa olevat etunollat poistetaan OID:n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r w:rsidR="00366966">
        <w:t>THL:</w:t>
      </w:r>
      <w:r>
        <w:t xml:space="preserve">n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r>
        <w:t>sv-numero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r>
        <w:t>sv-numero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lastRenderedPageBreak/>
        <w:t>BBBBB</w:t>
      </w:r>
      <w:r>
        <w:tab/>
        <w:t xml:space="preserve">y-tunnus tai </w:t>
      </w:r>
      <w:r w:rsidR="001A3CDF">
        <w:t>yksilöintitunnus (</w:t>
      </w:r>
      <w:r>
        <w:t>sv-numero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etunollilla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jne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r w:rsidRPr="00D21542">
        <w:t>sv-numerona)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lastRenderedPageBreak/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24" w:name="_Ref151790230"/>
      <w:bookmarkStart w:id="25" w:name="_Toc155024581"/>
      <w:bookmarkStart w:id="26" w:name="_Toc36296552"/>
      <w:r>
        <w:t>code – Dokumentin tyyppi</w:t>
      </w:r>
      <w:bookmarkEnd w:id="24"/>
      <w:bookmarkEnd w:id="25"/>
      <w:bookmarkEnd w:id="26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27" w:name="_Ref151790241"/>
      <w:bookmarkStart w:id="28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29" w:name="_Toc36296553"/>
      <w:r>
        <w:t>effectiveTime – Asiakirjan luontiaika (pakollinen)</w:t>
      </w:r>
      <w:bookmarkEnd w:id="27"/>
      <w:bookmarkEnd w:id="28"/>
      <w:bookmarkEnd w:id="29"/>
    </w:p>
    <w:p w14:paraId="48096DCC" w14:textId="77777777" w:rsidR="00A90ED4" w:rsidRPr="00A90ED4" w:rsidRDefault="00A90ED4" w:rsidP="007321C1">
      <w:pPr>
        <w:keepNext/>
      </w:pPr>
    </w:p>
    <w:p w14:paraId="1BB04BB7" w14:textId="538D68A7" w:rsidR="005C5644" w:rsidRDefault="00522FC1">
      <w:r>
        <w:t>Asiakirjan luontiaikaa kuvaa effectiveTime-elementti.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  <w:r w:rsidR="00F522B8">
        <w:t xml:space="preserve"> Käyttäjä ei saa syöttää tai muuttaa aikaa.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30" w:name="_Toc314136733"/>
      <w:bookmarkStart w:id="31" w:name="_Toc314137489"/>
      <w:bookmarkStart w:id="32" w:name="_Toc314138010"/>
      <w:bookmarkStart w:id="33" w:name="_Toc314138533"/>
      <w:bookmarkStart w:id="34" w:name="_Toc314136734"/>
      <w:bookmarkStart w:id="35" w:name="_Toc314137490"/>
      <w:bookmarkStart w:id="36" w:name="_Toc314138011"/>
      <w:bookmarkStart w:id="37" w:name="_Toc314138534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FAC68A7" w14:textId="77777777" w:rsidR="00522FC1" w:rsidRDefault="00522FC1">
      <w:pPr>
        <w:pStyle w:val="Otsikko2"/>
      </w:pPr>
      <w:bookmarkStart w:id="38" w:name="_Toc169572920"/>
      <w:bookmarkStart w:id="39" w:name="_Toc169580449"/>
      <w:bookmarkStart w:id="40" w:name="_Ref151790346"/>
      <w:bookmarkStart w:id="41" w:name="_Toc155024583"/>
      <w:bookmarkStart w:id="42" w:name="_Toc36296554"/>
      <w:bookmarkEnd w:id="38"/>
      <w:bookmarkEnd w:id="39"/>
      <w:r>
        <w:t>setId – Alkuperäisen asiakirjan yksilöintitunnus (pakollinen)</w:t>
      </w:r>
      <w:bookmarkEnd w:id="40"/>
      <w:bookmarkEnd w:id="41"/>
      <w:bookmarkEnd w:id="42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setId kuvaa alkuperäisen dokumentin yksilöintitunnuksen. </w:t>
      </w:r>
    </w:p>
    <w:p w14:paraId="370CC2AB" w14:textId="77777777" w:rsidR="00522FC1" w:rsidRDefault="00D2305C">
      <w:r>
        <w:t xml:space="preserve">Kun dokumentin versionumero on 1, on setId aina sama kuin asiakirjan yksilöintitunnus (id). </w:t>
      </w:r>
      <w:r w:rsidR="00522FC1">
        <w:t xml:space="preserve">Tunnus pysyy samana kaikissa alkuperäisen dokumentin versioissa, jolloin dokumentin tunnus (id) ja versionumero (versionNumber) muuttuu ja setId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43" w:name="_Toc155024584"/>
      <w:bookmarkStart w:id="44" w:name="_Toc36296555"/>
      <w:r>
        <w:t>versionNumber – versionumero</w:t>
      </w:r>
      <w:bookmarkEnd w:id="43"/>
      <w:bookmarkEnd w:id="44"/>
    </w:p>
    <w:p w14:paraId="46866710" w14:textId="77777777" w:rsidR="009E252E" w:rsidRPr="009E252E" w:rsidRDefault="009E252E" w:rsidP="009E252E"/>
    <w:p w14:paraId="4EB22607" w14:textId="77777777" w:rsidR="00F00B23" w:rsidRDefault="00522FC1">
      <w:r>
        <w:t>Asiakirjan versionumero tuodaan elementissä versionNumber. Versionumero alkaa</w:t>
      </w:r>
      <w:r w:rsidR="002D4553">
        <w:t xml:space="preserve"> numerosta</w:t>
      </w:r>
      <w:r>
        <w:t xml:space="preserve"> 1 ja kasvaa aina yhdellä jokaisen korjauksen yhteydessä </w:t>
      </w:r>
      <w:r w:rsidR="002D4553">
        <w:t>setI</w:t>
      </w:r>
      <w:r>
        <w:t xml:space="preserve">d:n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>asiakirja setId:llä,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>Muutoin syntyy aina uusi dokumentti, jolla on uusi id, setId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45" w:name="_Ref151790357"/>
      <w:bookmarkStart w:id="46" w:name="_Toc155024585"/>
      <w:bookmarkStart w:id="47" w:name="_Toc36296556"/>
      <w:r>
        <w:lastRenderedPageBreak/>
        <w:t>recordTarget – Asiakirjan kohde</w:t>
      </w:r>
      <w:bookmarkEnd w:id="45"/>
      <w:bookmarkEnd w:id="46"/>
      <w:bookmarkEnd w:id="47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r>
              <w:t>name</w:t>
            </w:r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given</w:t>
            </w:r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given elementeissään. Kutsumanimi erotetaan </w:t>
            </w:r>
            <w:r w:rsidRPr="00D35AC1">
              <w:t>qualifier="CL"&gt;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prefix</w:t>
            </w:r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family elementissä sukunimen kanssa. Samoin Suomessa on sallittua esittää myös muut </w:t>
            </w:r>
            <w:r w:rsidR="00F13E46">
              <w:t xml:space="preserve">kuin </w:t>
            </w:r>
            <w:r w:rsidR="002222BD">
              <w:t xml:space="preserve">aateliutta merkitsevät </w:t>
            </w:r>
            <w:r>
              <w:t>nimen etuliitteet NB qualifierilla.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family</w:t>
            </w:r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r w:rsidRPr="00D35AC1">
              <w:t>administrativeGenderCode</w:t>
            </w:r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r w:rsidRPr="00D35AC1">
              <w:t>birthTime</w:t>
            </w:r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r>
        <w:t>RecordTar</w:t>
      </w:r>
      <w:r w:rsidR="00D829B7">
        <w:t>get-elementissä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r>
        <w:t>Esim: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E383C93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1.2.246.537.5.1.1997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19BF0EC8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AR/YDIN - Sukupuoli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B25C66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B25C66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B25C66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r w:rsidRPr="00B25C66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B25C66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B25C66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B25C66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B25C6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B25C6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48" w:name="_Toc31030564"/>
      <w:bookmarkStart w:id="49" w:name="_Toc36296557"/>
      <w:bookmarkStart w:id="50" w:name="AUTHOR"/>
      <w:bookmarkStart w:id="51" w:name="_Ref151790365"/>
      <w:bookmarkStart w:id="52" w:name="_Toc155024586"/>
      <w:bookmarkEnd w:id="48"/>
      <w:r>
        <w:t>author</w:t>
      </w:r>
      <w:bookmarkEnd w:id="49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r w:rsidRPr="00D35AC1">
              <w:t>functionCode</w:t>
            </w:r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eArkisto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code="LAL"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>Toimituksen tekijä: code=”LTE”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author-elementti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>korjaajalle code=”KOR”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>mitätöijälle code=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>, author-elementti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r w:rsidRPr="001621D9">
              <w:t>code=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author-elementissä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>Jos taas kyse on lääketoimituksen mitätöinnistä tai korjauksesta, toisessa author-elementissä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r>
              <w:lastRenderedPageBreak/>
              <w:t>time</w:t>
            </w:r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r w:rsidRPr="007E15E9">
              <w:t>assignedAuthor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>Yksilöintitunnus (ent. sv-numero)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>Rekisteröintinumero (eli ns. terhikkitunnus)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code</w:t>
            </w:r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lastRenderedPageBreak/>
              <w:t xml:space="preserve">    </w:t>
            </w:r>
            <w:r w:rsidRPr="007E15E9">
              <w:t>translation</w:t>
            </w:r>
          </w:p>
        </w:tc>
        <w:tc>
          <w:tcPr>
            <w:tcW w:w="1843" w:type="dxa"/>
            <w:shd w:val="clear" w:color="auto" w:fill="BFBF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r w:rsidRPr="007E15E9">
              <w:t>qualifier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value</w:t>
            </w:r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(name code="1.2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(name code="151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r w:rsidRPr="00086782">
              <w:t>assignedPerson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name</w:t>
            </w:r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given</w:t>
            </w:r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>Etunimet tuodaan omissa given-elementeissään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family</w:t>
            </w:r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suffix</w:t>
            </w:r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r w:rsidRPr="00C33E66">
              <w:rPr>
                <w:b/>
              </w:rPr>
              <w:lastRenderedPageBreak/>
              <w:t>representedOrganization</w:t>
            </w:r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oid </w:t>
            </w:r>
          </w:p>
          <w:p w14:paraId="76284185" w14:textId="77777777" w:rsidR="007C1548" w:rsidRDefault="007C1548" w:rsidP="00001B45">
            <w:r>
              <w:t>Oid sijoitetaan kokonaisuudessaan root-elementtiin.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name</w:t>
            </w:r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telecom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telecom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addr</w:t>
            </w:r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postalCode</w:t>
            </w:r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r w:rsidRPr="00BE6A74">
              <w:rPr>
                <w:b/>
              </w:rPr>
              <w:lastRenderedPageBreak/>
              <w:t>asOrganizationPartOf</w:t>
            </w:r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>Organisaation oid</w:t>
            </w:r>
          </w:p>
          <w:p w14:paraId="7B15DFF9" w14:textId="77777777" w:rsidR="007C1548" w:rsidRDefault="007C1548" w:rsidP="00F95980">
            <w:r>
              <w:t>Oid sijoitetaan kokonaisuudessaan root-elementtiin.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name</w:t>
            </w:r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telecom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telecom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addr</w:t>
            </w:r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postalCode</w:t>
            </w:r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author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 xml:space="preserve">Lääkemääräyksen tai lääketoimituksen korjauksessa ja mitätöinnissä ei saa korjata alkuperäisen määrääjän (LAL-author) tai alkuperäisen lääketoimituksen tehneen henkilön (LTE-author) tietoja. Mikäli alkuperäisestä lääkemääräyksestä tai lääketoimituksesta puuttuu authorin tietoja, jotka ovat uusimman määrityksen mukaan </w:t>
      </w:r>
      <w:r>
        <w:lastRenderedPageBreak/>
        <w:t xml:space="preserve">pakollisia, tietoja ei tuoda lääkemääräyksen tai toimituksen korjauksessa tai mitätöinnissä. </w:t>
      </w:r>
    </w:p>
    <w:bookmarkEnd w:id="50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r w:rsidR="00582C9C">
        <w:t>terhikki-tunnusta</w:t>
      </w:r>
      <w:r w:rsidR="005572C6">
        <w:t>)</w:t>
      </w:r>
      <w:r w:rsidR="00582C9C">
        <w:t>.</w:t>
      </w:r>
      <w:r>
        <w:t xml:space="preserve"> Samoja tunnisteita on käytettävä Body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extensionissa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  <w:t>&lt;!--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(terhikki)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KanTa-palvelut - Tekninen CDA R2 rakennekoodisto 2003” 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ammattioikeus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 code="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qualifieria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nimi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use-attribuutin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 Lääkärikeskus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>Lääkemääräyksen tuottava terveydenhuollon palveluyksikkö ilmoitetaan re</w:t>
      </w:r>
      <w:r w:rsidR="00054C69">
        <w:t>presentedOrganization-rakenteessa ja terveydenhuollon palvelunantaja representedOrganization</w:t>
      </w:r>
      <w:r w:rsidR="00413596">
        <w:t>.</w:t>
      </w:r>
      <w:r w:rsidR="00054C69">
        <w:t>asOrganizationPartOf-rakenteessa.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>Poikkeuksen edellä määriteltyyn author-tietoon muodostaa Omakanta. Kun kansalainen tekee lääkemääräyksen uusimispyynnön Omakannassa, author-tieto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lastRenderedPageBreak/>
        <w:t>&lt;author nullFlavor="NA"&gt;</w:t>
      </w:r>
      <w:r w:rsidRPr="00AB342A">
        <w:rPr>
          <w:rFonts w:ascii="Arial" w:hAnsi="Arial" w:cs="Arial"/>
          <w:sz w:val="22"/>
          <w:lang w:val="en-US"/>
        </w:rPr>
        <w:br/>
        <w:t>     &lt;time nullFlavor="NA"/&gt;</w:t>
      </w:r>
      <w:r w:rsidRPr="00AB342A">
        <w:rPr>
          <w:rFonts w:ascii="Arial" w:hAnsi="Arial" w:cs="Arial"/>
          <w:sz w:val="22"/>
          <w:lang w:val="en-US"/>
        </w:rPr>
        <w:br/>
        <w:t>     &lt;assignedAuthor&gt;</w:t>
      </w:r>
      <w:r w:rsidRPr="00AB342A">
        <w:rPr>
          <w:rFonts w:ascii="Arial" w:hAnsi="Arial" w:cs="Arial"/>
          <w:sz w:val="22"/>
          <w:lang w:val="en-US"/>
        </w:rPr>
        <w:br/>
        <w:t>          &lt;id nullFlavor="NA"/&gt;</w:t>
      </w:r>
      <w:r w:rsidRPr="00AB342A">
        <w:rPr>
          <w:rFonts w:ascii="Arial" w:hAnsi="Arial" w:cs="Arial"/>
          <w:sz w:val="22"/>
          <w:lang w:val="en-US"/>
        </w:rPr>
        <w:br/>
        <w:t>     &lt;/assignedAuthor&gt;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53" w:name="CUSTODIAN"/>
      <w:bookmarkStart w:id="54" w:name="_Toc36296558"/>
      <w:bookmarkEnd w:id="53"/>
      <w:r>
        <w:t>custodian – rekisterinpitäjä (pakollinen)</w:t>
      </w:r>
      <w:bookmarkEnd w:id="51"/>
      <w:bookmarkEnd w:id="52"/>
      <w:bookmarkEnd w:id="54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>Koko OID sijoitetaan root-attribuuttiin.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55" w:name="_Ref151790446"/>
      <w:bookmarkStart w:id="56" w:name="_Toc155024587"/>
      <w:bookmarkStart w:id="57" w:name="_Toc36296559"/>
      <w:r>
        <w:t>relatedDocument – viittaus toiseen dokumenttiin</w:t>
      </w:r>
      <w:bookmarkEnd w:id="55"/>
      <w:bookmarkEnd w:id="56"/>
      <w:bookmarkEnd w:id="57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A9479A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9479A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9479A">
        <w:rPr>
          <w:rStyle w:val="XML10ptGray-50"/>
          <w:rFonts w:ascii="Arial" w:hAnsi="Arial" w:cs="Arial"/>
          <w:szCs w:val="20"/>
          <w:highlight w:val="white"/>
        </w:rPr>
        <w:t xml:space="preserve"> relatedDocument  - Korjattu lääkemääräys </w:t>
      </w:r>
      <w:r w:rsidRPr="00A9479A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A9479A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9479A">
        <w:rPr>
          <w:rStyle w:val="XML10ptBlue"/>
          <w:rFonts w:ascii="Arial" w:hAnsi="Arial" w:cs="Arial"/>
          <w:szCs w:val="20"/>
          <w:highlight w:val="white"/>
        </w:rPr>
        <w:t>&lt;</w:t>
      </w:r>
      <w:r w:rsidRPr="00A9479A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A9479A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A9479A">
        <w:rPr>
          <w:rStyle w:val="XML10ptBlue"/>
          <w:rFonts w:ascii="Arial" w:hAnsi="Arial" w:cs="Arial"/>
          <w:szCs w:val="20"/>
          <w:highlight w:val="white"/>
        </w:rPr>
        <w:t>="</w:t>
      </w:r>
      <w:r w:rsidRPr="00A9479A">
        <w:rPr>
          <w:rStyle w:val="XML10ptBlack"/>
          <w:rFonts w:ascii="Arial" w:hAnsi="Arial" w:cs="Arial"/>
          <w:szCs w:val="20"/>
          <w:highlight w:val="white"/>
        </w:rPr>
        <w:t>RPLC</w:t>
      </w:r>
      <w:r w:rsidRPr="00A9479A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A9479A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9479A">
        <w:rPr>
          <w:rStyle w:val="XML10ptBlack"/>
          <w:rFonts w:ascii="Arial" w:hAnsi="Arial" w:cs="Arial"/>
          <w:szCs w:val="20"/>
          <w:highlight w:val="white"/>
        </w:rPr>
        <w:tab/>
      </w:r>
      <w:r w:rsidRPr="00A9479A">
        <w:rPr>
          <w:rStyle w:val="XML10ptBlue"/>
          <w:rFonts w:ascii="Arial" w:hAnsi="Arial" w:cs="Arial"/>
          <w:szCs w:val="20"/>
          <w:highlight w:val="white"/>
        </w:rPr>
        <w:t>&lt;</w:t>
      </w:r>
      <w:r w:rsidRPr="00A9479A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A9479A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A9479A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9479A">
        <w:rPr>
          <w:rStyle w:val="XML10ptBlack"/>
          <w:rFonts w:ascii="Arial" w:hAnsi="Arial" w:cs="Arial"/>
          <w:szCs w:val="20"/>
          <w:highlight w:val="white"/>
        </w:rPr>
        <w:tab/>
      </w:r>
      <w:r w:rsidRPr="00A9479A">
        <w:rPr>
          <w:rStyle w:val="XML10ptBlack"/>
          <w:rFonts w:ascii="Arial" w:hAnsi="Arial" w:cs="Arial"/>
          <w:szCs w:val="20"/>
          <w:highlight w:val="white"/>
        </w:rPr>
        <w:tab/>
      </w:r>
      <w:r w:rsidR="00522FC1" w:rsidRPr="00A9479A">
        <w:rPr>
          <w:rStyle w:val="XML10ptBlue"/>
          <w:rFonts w:ascii="Arial" w:hAnsi="Arial" w:cs="Arial"/>
          <w:szCs w:val="20"/>
          <w:highlight w:val="white"/>
        </w:rPr>
        <w:t>&lt;!--</w:t>
      </w:r>
      <w:r w:rsidR="00522FC1" w:rsidRPr="00A9479A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A9479A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9479A">
        <w:rPr>
          <w:rStyle w:val="XML10ptBlack"/>
          <w:rFonts w:ascii="Arial" w:hAnsi="Arial" w:cs="Arial"/>
          <w:szCs w:val="20"/>
          <w:highlight w:val="white"/>
        </w:rPr>
        <w:tab/>
      </w:r>
      <w:r w:rsidRPr="00A9479A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A9479A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9479A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9479A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Viitattu dokumentin setId </w:t>
      </w:r>
      <w:r w:rsidRPr="00A9479A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9479A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9479A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026C2C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26C2C">
        <w:rPr>
          <w:rStyle w:val="XML10ptBlue"/>
          <w:rFonts w:ascii="Arial" w:hAnsi="Arial" w:cs="Arial"/>
          <w:szCs w:val="20"/>
          <w:highlight w:val="white"/>
          <w:lang w:val="sv-SE"/>
        </w:rPr>
        <w:t>&lt;/</w:t>
      </w:r>
      <w:r w:rsidRPr="00026C2C">
        <w:rPr>
          <w:rStyle w:val="XML10ptDarkRed"/>
          <w:rFonts w:ascii="Arial" w:hAnsi="Arial" w:cs="Arial"/>
          <w:szCs w:val="20"/>
          <w:highlight w:val="white"/>
          <w:lang w:val="sv-SE"/>
        </w:rPr>
        <w:t>parentDocument</w:t>
      </w:r>
      <w:r w:rsidRPr="00026C2C">
        <w:rPr>
          <w:rStyle w:val="XML10ptBlue"/>
          <w:rFonts w:ascii="Arial" w:hAnsi="Arial" w:cs="Arial"/>
          <w:szCs w:val="20"/>
          <w:highlight w:val="white"/>
          <w:lang w:val="sv-SE"/>
        </w:rPr>
        <w:t>&gt;</w:t>
      </w:r>
    </w:p>
    <w:p w14:paraId="5EE8D94C" w14:textId="77777777" w:rsidR="00522FC1" w:rsidRPr="00026C2C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26C2C">
        <w:rPr>
          <w:rStyle w:val="XML10ptBlue"/>
          <w:rFonts w:ascii="Arial" w:hAnsi="Arial" w:cs="Arial"/>
          <w:szCs w:val="20"/>
          <w:highlight w:val="white"/>
        </w:rPr>
        <w:t>&lt;/</w:t>
      </w:r>
      <w:r w:rsidRPr="00026C2C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026C2C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56AC5C08" w14:textId="77777777" w:rsidR="00522FC1" w:rsidRPr="00026C2C" w:rsidRDefault="00522FC1"/>
    <w:p w14:paraId="6A619886" w14:textId="77777777" w:rsidR="00522FC1" w:rsidRDefault="00522FC1">
      <w:pPr>
        <w:keepNext/>
        <w:keepLines/>
      </w:pPr>
      <w:r>
        <w:t xml:space="preserve">RelatedDocument-elementin typeCode-attribuutti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parentDocument.setId –elementissä toistetaan viitatun dokumentin setId. </w:t>
      </w:r>
      <w:r>
        <w:lastRenderedPageBreak/>
        <w:t xml:space="preserve">parentDocument.code –elementissä toistetaan viitatun dokumentin tyyppi elementistä code. </w:t>
      </w:r>
    </w:p>
    <w:p w14:paraId="1D1359F2" w14:textId="77777777" w:rsidR="00522FC1" w:rsidRDefault="00522FC1"/>
    <w:p w14:paraId="694DBB37" w14:textId="77777777" w:rsidR="00522FC1" w:rsidRDefault="00522FC1">
      <w:r>
        <w:t xml:space="preserve">RelatedDocument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>Esitetty typeCode-attribuutin käyttö poikkeaa kansainvälisistä määrityksistä siten että lääkemääräyssanomissa headerissa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58" w:name="OLE_LINK2"/>
      <w:bookmarkStart w:id="59" w:name="AUTHORIZATION"/>
      <w:bookmarkStart w:id="60" w:name="_Toc436750353"/>
      <w:bookmarkStart w:id="61" w:name="_Toc36296560"/>
      <w:bookmarkEnd w:id="58"/>
      <w:r w:rsidRPr="00AA0C34">
        <w:t xml:space="preserve">authorization </w:t>
      </w:r>
      <w:bookmarkEnd w:id="59"/>
      <w:r w:rsidRPr="00AA0C34">
        <w:t>- valtuudet</w:t>
      </w:r>
      <w:bookmarkEnd w:id="60"/>
      <w:bookmarkEnd w:id="61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>ä authorization-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authorization.consent.code. </w:t>
      </w:r>
      <w:r w:rsidR="00564C3F">
        <w:t>Tietoa käytetään silloin, kun tiedon hakijana on joku muu kuin alaikäinen itse.</w:t>
      </w:r>
      <w:r w:rsidR="00FD169F">
        <w:t xml:space="preserve"> Pakollisella tiedolla templateId </w:t>
      </w:r>
      <w:r w:rsidR="00FD169F" w:rsidRPr="000E0BA5">
        <w:t xml:space="preserve">tunnistetaan mistä authorization-rakenteesta on kyse </w:t>
      </w:r>
      <w:r w:rsidR="00FD169F">
        <w:rPr>
          <w:color w:val="1F497D"/>
        </w:rPr>
        <w:t>(</w:t>
      </w:r>
      <w:r w:rsidR="00FD169F">
        <w:t>KanTa-palvelut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typeCode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classCode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moodCode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026C2C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026C2C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026C2C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62" w:name="_Ref152387289"/>
      <w:bookmarkStart w:id="63" w:name="_Toc155024588"/>
      <w:bookmarkStart w:id="64" w:name="_Toc36296561"/>
      <w:r>
        <w:t>componentOf</w:t>
      </w:r>
      <w:bookmarkEnd w:id="62"/>
      <w:bookmarkEnd w:id="63"/>
      <w:bookmarkEnd w:id="64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r w:rsidRPr="00790B16">
              <w:rPr>
                <w:b/>
              </w:rPr>
              <w:t>encompassingEncounter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lastRenderedPageBreak/>
              <w:t xml:space="preserve">  </w:t>
            </w:r>
            <w:r w:rsidR="008A4BD0">
              <w:t>effectiveTime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location</w:t>
            </w:r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r w:rsidRPr="00F9059F">
              <w:rPr>
                <w:b/>
                <w:lang w:val="en-US"/>
              </w:rPr>
              <w:t>healthCareFacility</w:t>
            </w:r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r w:rsidRPr="007D429C">
              <w:t>Oid sijoitetaan kokonaisuudessaan root-elementtiin.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r w:rsidR="00E027DF" w:rsidRPr="007D429C">
              <w:rPr>
                <w:b/>
              </w:rPr>
              <w:t>location</w:t>
            </w:r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r w:rsidR="00F9059F">
              <w:t>name</w:t>
            </w:r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telecom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telecom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E027DF"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lastRenderedPageBreak/>
              <w:t xml:space="preserve">            </w:t>
            </w:r>
            <w:r w:rsidR="00352870"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r w:rsidR="00352870"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serviceProvider</w:t>
            </w:r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r>
              <w:t>Oid sijoitetaan kokonaisuudessaan root-elementtiin.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name</w:t>
            </w:r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telecom</w:t>
            </w:r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telecom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r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lastRenderedPageBreak/>
              <w:t xml:space="preserve">      </w:t>
            </w:r>
            <w:r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componentOf.encompassingEncounter sisällä effectiveTime-elementissä.</w:t>
      </w:r>
      <w:r w:rsidR="00CF0105">
        <w:t xml:space="preserve"> encompassingEncounter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location-elementissä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A9479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9479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9479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r w:rsidRPr="00A9479A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9479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A9479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A9479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9479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Laatimispaikka </w:t>
      </w:r>
      <w:r w:rsidRPr="00A9479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A9479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9479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r w:rsidRPr="00A9479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A9479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9479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r w:rsidRPr="00A9479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9479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component.of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>Muissa asiakirjoissa kuin lääkemääräyksissä ja toimituksissa sekä näiden korjauksissa ja mitätöinneissä tuodaan component.of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Omakannassa, componentOf-raken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 Uusimispyynnön tekijä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t>Omakanta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65" w:name="_Ref151790481"/>
      <w:bookmarkStart w:id="66" w:name="_Toc169580456"/>
      <w:bookmarkStart w:id="67" w:name="_Toc155024589"/>
      <w:bookmarkStart w:id="68" w:name="_Toc36296562"/>
      <w:bookmarkStart w:id="69" w:name="_Toc155024591"/>
      <w:r>
        <w:t xml:space="preserve">hl7fi:signatureCollection </w:t>
      </w:r>
      <w:r w:rsidR="002521B1">
        <w:t>–</w:t>
      </w:r>
      <w:r>
        <w:t xml:space="preserve"> Allekirjoitukset</w:t>
      </w:r>
      <w:bookmarkEnd w:id="65"/>
      <w:bookmarkEnd w:id="66"/>
      <w:bookmarkEnd w:id="67"/>
      <w:bookmarkEnd w:id="68"/>
    </w:p>
    <w:p w14:paraId="0004E7AC" w14:textId="77777777" w:rsidR="002521B1" w:rsidRPr="002521B1" w:rsidRDefault="002521B1" w:rsidP="00966CA1">
      <w:pPr>
        <w:keepNext/>
      </w:pPr>
    </w:p>
    <w:p w14:paraId="51D2F619" w14:textId="5965887F" w:rsidR="00E26193" w:rsidRPr="001D7726" w:rsidRDefault="00E7078B" w:rsidP="00ED1D74">
      <w:pPr>
        <w:rPr>
          <w:sz w:val="22"/>
          <w:szCs w:val="22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w:history="1"/>
      <w:hyperlink r:id="rId17" w:history="1">
        <w:r w:rsidR="006F3831">
          <w:rPr>
            <w:rStyle w:val="Hyperlinkki"/>
          </w:rPr>
          <w:t>Sähköisen allekirjoituksen määrittely ja soveltamisohje - Järjestelmäkehittäjät - Kanta.fi</w:t>
        </w:r>
      </w:hyperlink>
      <w:r w:rsidR="001D7726">
        <w:rPr>
          <w:sz w:val="22"/>
          <w:szCs w:val="22"/>
        </w:rPr>
        <w:t xml:space="preserve"> </w:t>
      </w:r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70" w:name="_Toc189036930"/>
      <w:bookmarkStart w:id="71" w:name="_Toc189036932"/>
      <w:bookmarkStart w:id="72" w:name="_Toc169572931"/>
      <w:bookmarkStart w:id="73" w:name="_Toc169580459"/>
      <w:bookmarkStart w:id="74" w:name="_Ref151790548"/>
      <w:bookmarkStart w:id="75" w:name="_Toc155024592"/>
      <w:bookmarkStart w:id="76" w:name="_Toc36296563"/>
      <w:bookmarkEnd w:id="69"/>
      <w:bookmarkEnd w:id="70"/>
      <w:bookmarkEnd w:id="71"/>
      <w:bookmarkEnd w:id="72"/>
      <w:bookmarkEnd w:id="73"/>
      <w:r>
        <w:lastRenderedPageBreak/>
        <w:t xml:space="preserve">hl7fi:sender </w:t>
      </w:r>
      <w:r w:rsidR="00E26193">
        <w:t>–</w:t>
      </w:r>
      <w:r>
        <w:t xml:space="preserve"> lähettäjä</w:t>
      </w:r>
      <w:bookmarkEnd w:id="74"/>
      <w:bookmarkEnd w:id="75"/>
      <w:bookmarkEnd w:id="76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medical records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77" w:name="INFORMATIONRECIPIENT"/>
      <w:bookmarkStart w:id="78" w:name="_Toc36296564"/>
      <w:r>
        <w:t>InformationRecipient</w:t>
      </w:r>
      <w:bookmarkEnd w:id="77"/>
      <w:r>
        <w:t xml:space="preserve"> – uusintapyynnön vastaanottaja</w:t>
      </w:r>
      <w:bookmarkEnd w:id="78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Organisaation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id</w:t>
      </w:r>
      <w:r w:rsidRPr="00FE1FE7">
        <w:rPr>
          <w:rFonts w:ascii="Arial" w:hAnsi="Arial" w:cs="Arial"/>
          <w:color w:val="FF0000"/>
          <w:sz w:val="20"/>
          <w:szCs w:val="20"/>
        </w:rPr>
        <w:t xml:space="preserve"> root</w:t>
      </w:r>
      <w:r w:rsidRPr="00FE1FE7">
        <w:rPr>
          <w:rFonts w:ascii="Arial" w:hAnsi="Arial" w:cs="Arial"/>
          <w:color w:val="0000FF"/>
          <w:sz w:val="20"/>
          <w:szCs w:val="20"/>
        </w:rPr>
        <w:t>="</w:t>
      </w:r>
      <w:r w:rsidRPr="00FE1FE7">
        <w:rPr>
          <w:rFonts w:ascii="Arial" w:hAnsi="Arial" w:cs="Arial"/>
          <w:color w:val="000000"/>
          <w:sz w:val="20"/>
          <w:szCs w:val="20"/>
        </w:rPr>
        <w:t>1.2.246.10.98765432.10</w:t>
      </w:r>
      <w:r w:rsidRPr="00FE1FE7">
        <w:rPr>
          <w:rFonts w:ascii="Arial" w:hAnsi="Arial" w:cs="Arial"/>
          <w:color w:val="0000FF"/>
          <w:sz w:val="20"/>
          <w:szCs w:val="20"/>
        </w:rPr>
        <w:t>.</w:t>
      </w:r>
      <w:r w:rsidRPr="00FE1FE7">
        <w:rPr>
          <w:rFonts w:ascii="Arial" w:hAnsi="Arial" w:cs="Arial"/>
          <w:color w:val="000000"/>
          <w:sz w:val="20"/>
          <w:szCs w:val="20"/>
        </w:rPr>
        <w:t>2002.1</w:t>
      </w:r>
      <w:r w:rsidRPr="00FE1FE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&lt;!--</w:t>
      </w:r>
      <w:r w:rsidRPr="00FE1FE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FE1FE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B25C6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B25C66">
        <w:rPr>
          <w:rFonts w:ascii="Arial" w:hAnsi="Arial" w:cs="Arial"/>
          <w:color w:val="0000FF"/>
          <w:sz w:val="20"/>
          <w:szCs w:val="20"/>
        </w:rPr>
        <w:t>&lt;</w:t>
      </w:r>
      <w:r w:rsidRPr="00B25C66">
        <w:rPr>
          <w:rFonts w:ascii="Arial" w:hAnsi="Arial" w:cs="Arial"/>
          <w:color w:val="800000"/>
          <w:sz w:val="20"/>
          <w:szCs w:val="20"/>
        </w:rPr>
        <w:t>name</w:t>
      </w:r>
      <w:r w:rsidRPr="00B25C66">
        <w:rPr>
          <w:rFonts w:ascii="Arial" w:hAnsi="Arial" w:cs="Arial"/>
          <w:color w:val="0000FF"/>
          <w:sz w:val="20"/>
          <w:szCs w:val="20"/>
        </w:rPr>
        <w:t>&gt;</w:t>
      </w:r>
      <w:r w:rsidR="00750AC6" w:rsidRPr="00B25C66">
        <w:rPr>
          <w:rFonts w:ascii="Arial" w:hAnsi="Arial" w:cs="Arial"/>
          <w:color w:val="000000"/>
          <w:sz w:val="20"/>
          <w:szCs w:val="20"/>
        </w:rPr>
        <w:t>T</w:t>
      </w:r>
      <w:r w:rsidRPr="00B25C66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B25C66">
        <w:rPr>
          <w:rFonts w:ascii="Arial" w:hAnsi="Arial" w:cs="Arial"/>
          <w:color w:val="000000"/>
          <w:sz w:val="20"/>
          <w:szCs w:val="20"/>
        </w:rPr>
        <w:t>terveysasema</w:t>
      </w:r>
      <w:r w:rsidRPr="00B25C66">
        <w:rPr>
          <w:rFonts w:ascii="Arial" w:hAnsi="Arial" w:cs="Arial"/>
          <w:color w:val="0000FF"/>
          <w:sz w:val="20"/>
          <w:szCs w:val="20"/>
        </w:rPr>
        <w:t>&lt;/</w:t>
      </w:r>
      <w:r w:rsidRPr="00B25C66">
        <w:rPr>
          <w:rFonts w:ascii="Arial" w:hAnsi="Arial" w:cs="Arial"/>
          <w:color w:val="800000"/>
          <w:sz w:val="20"/>
          <w:szCs w:val="20"/>
        </w:rPr>
        <w:t>name</w:t>
      </w:r>
      <w:r w:rsidRPr="00B25C66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B25C66">
        <w:rPr>
          <w:rFonts w:ascii="Arial" w:hAnsi="Arial" w:cs="Arial"/>
          <w:color w:val="000000"/>
          <w:sz w:val="20"/>
          <w:szCs w:val="20"/>
        </w:rPr>
        <w:tab/>
      </w:r>
      <w:r w:rsidRPr="00B25C66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79" w:name="_Toc36296565"/>
      <w:r>
        <w:t>Yleisiä periaatteita</w:t>
      </w:r>
      <w:bookmarkEnd w:id="79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80" w:name="_Toc36296566"/>
      <w:r>
        <w:t>Ajan esittäminen</w:t>
      </w:r>
      <w:bookmarkEnd w:id="80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>Aika, jonka käyttäjä syöttää, tallennetaan ydintieto- tai sovelluskohtaisten määrittelyjen määrämällä tarkkuudella. Näyttömuodossa tieto näytetään tallennustarkkuudella, kuitenkin ohjeistuksen mukaisuudella.</w:t>
      </w:r>
    </w:p>
    <w:p w14:paraId="3B8F0DC0" w14:textId="77777777" w:rsidR="00522FC1" w:rsidRDefault="00522FC1">
      <w:r>
        <w:t>Tämä koskee sekä headeria että bodyä.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81" w:name="_Toc169572936"/>
      <w:bookmarkStart w:id="82" w:name="_Toc169580464"/>
      <w:bookmarkStart w:id="83" w:name="_Ref151824887"/>
      <w:bookmarkStart w:id="84" w:name="_Toc155024593"/>
      <w:bookmarkStart w:id="85" w:name="_Toc36296567"/>
      <w:bookmarkEnd w:id="81"/>
      <w:bookmarkEnd w:id="82"/>
      <w:r>
        <w:t>Lääkemääräysten ja toimitusten linkitys</w:t>
      </w:r>
      <w:bookmarkEnd w:id="83"/>
      <w:bookmarkEnd w:id="84"/>
      <w:bookmarkEnd w:id="85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body-osassa että headerissa.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r>
        <w:t xml:space="preserve">Bodyssä oleva linkki itseensä mahdollistaa dokumentin tunnisteen (id) allekirjoittamisen. Ilman tätä linkkiä dokumentin tunnistetta ei allekirjoiteta, </w:t>
      </w:r>
      <w:r w:rsidR="00712F89">
        <w:t>k</w:t>
      </w:r>
      <w:r>
        <w:t>oska se sijaitsee vain headerissa</w:t>
      </w:r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r>
        <w:lastRenderedPageBreak/>
        <w:t>Bodyssä linkit ovat substanceAdministration.entryRelationship.supply-elementin alla reference.externalDocument –elementteinä, mikäli asiakirja on allekirjoitettu.</w:t>
      </w:r>
    </w:p>
    <w:p w14:paraId="7733CCFC" w14:textId="77777777" w:rsidR="00522FC1" w:rsidRDefault="00522FC1">
      <w:r>
        <w:t>Headerissa setId osoittaa aina alkuperäisen dokumentin OID:hen. Muut tarvittavat viittaukset esitetään toistuvilla relatedDocument.parentDocument-elementeillä.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>Alkuperäisessä lääkemääräyksessä ei siis ole viittauksia minnekään eikä siten relatedDocument.parentDocument-elementtiä.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lastRenderedPageBreak/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B25C66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B25C66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B25C66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B25C66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B25C66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B25C66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B25C66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B25C66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B25C66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B25C66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FE1FE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typeCode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</w:rPr>
        <w:t>&lt;</w:t>
      </w:r>
      <w:r w:rsidRPr="00FE1FE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FE1FE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B25C66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B25C66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B25C66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B25C66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B25C66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B25C66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B25C66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B25C66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B25C66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B25C66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>Seuraavilla sivuilla olevassa taulukossa on kuvattu dokumenttityyppikohtaisesti headerin elementtien ja relatedDocument-elementtien käyttö ja sisältö. Taulukossa on lisäksi esimerkkeinä id, version ja setId –header-elementtien sisältö ja relatedDocument-elementtien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3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RelatedDocument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Versio ja setId headerissa</w:t>
            </w:r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Esimerkki: header</w:t>
            </w:r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>Esimerkki: relatedDocument</w:t>
            </w:r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(typeCode=APND)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sz w:val="16"/>
                <w:szCs w:val="16"/>
              </w:rPr>
              <w:t>setId=1.2.246.10.98765432.93.2006.23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96" w:name="OLE_LINK1"/>
            <w:r>
              <w:rPr>
                <w:sz w:val="20"/>
                <w:szCs w:val="20"/>
              </w:rPr>
              <w:t>Alkuperäinen lääkemääräys (typeCode=RPLC)</w:t>
            </w:r>
            <w:bookmarkEnd w:id="96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(typeCode=RPLC)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4 – Lukitus</w:t>
            </w:r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>5 - Lukituksen purku</w:t>
            </w:r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(typecCode=RPLC)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6 – Varaus</w:t>
            </w:r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7 - Varauksen purku</w:t>
            </w:r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(typecCode=RPLC)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8 – Uusimispyyntö</w:t>
            </w:r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(typeCode=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 – Toimitus</w:t>
            </w:r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11 - Toimituksen mitätöinti</w:t>
            </w:r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setId=1.2.246.10.98765432.93.2006.25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12 - Toimituksen korjaus</w:t>
            </w:r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16 – Annosjakelu</w:t>
            </w:r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(typeCode=APND)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17 - Annosjakelun purku</w:t>
            </w:r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(typeCode=APND)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(typecCode=RPLC)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18 - Toimitusvarauksen purku</w:t>
            </w:r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97" w:name="_Ref189450047"/>
            <w:bookmarkStart w:id="98" w:name="_Toc189974689"/>
            <w:r w:rsidRPr="006D2308">
              <w:rPr>
                <w:sz w:val="20"/>
                <w:szCs w:val="20"/>
                <w:lang w:val="en-US"/>
              </w:rPr>
              <w:lastRenderedPageBreak/>
              <w:t>Prescription Fulfillment Reservation Cancel (RCMR_IN000516FI01)</w:t>
            </w:r>
            <w:bookmarkEnd w:id="97"/>
            <w:bookmarkEnd w:id="98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Kyselyn yhteydessä tehdyn toimitusvarauksen </w:t>
            </w:r>
            <w:r>
              <w:rPr>
                <w:sz w:val="20"/>
                <w:szCs w:val="20"/>
              </w:rPr>
              <w:lastRenderedPageBreak/>
              <w:t>purku, lääkemääräys (typeCode=APND)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v-SE"/>
              </w:rPr>
              <w:t>setId=1.2.246.10.98765432.93.2006.77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B5618C">
      <w:rPr>
        <w:sz w:val="18"/>
        <w:szCs w:val="18"/>
        <w:lang w:val="en-US"/>
      </w:rPr>
      <w:t>URN:OID: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URN:OID: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32"/>
      <w:gridCol w:w="1042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0FC23F3F" w:rsidR="00B5618C" w:rsidRDefault="00B5618C" w:rsidP="005A5D03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 xml:space="preserve">Versio </w:t>
          </w:r>
          <w:del w:id="86" w:author="Pettersson Mirkka" w:date="2024-09-17T08:08:00Z">
            <w:r w:rsidR="00FE1FE7" w:rsidDel="00A9479A">
              <w:delText>4.</w:delText>
            </w:r>
            <w:r w:rsidR="007F5218" w:rsidDel="00A9479A">
              <w:delText>2</w:delText>
            </w:r>
            <w:r w:rsidR="00FE1FE7" w:rsidDel="00A9479A">
              <w:delText>.1.</w:delText>
            </w:r>
          </w:del>
          <w:ins w:id="87" w:author="Pettersson Mirkka" w:date="2024-09-17T08:08:00Z">
            <w:r w:rsidR="00A9479A">
              <w:t>4.3.0</w:t>
            </w:r>
          </w:ins>
        </w:p>
      </w:tc>
      <w:tc>
        <w:tcPr>
          <w:tcW w:w="1080" w:type="dxa"/>
        </w:tcPr>
        <w:p w14:paraId="4D9D8296" w14:textId="59C22529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20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>CDA R2 Header</w:t>
          </w:r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43296A3B" w:rsidR="00B5618C" w:rsidRDefault="007F5218" w:rsidP="005A5D03">
          <w:pPr>
            <w:pStyle w:val="Yltunniste"/>
            <w:jc w:val="center"/>
          </w:pPr>
          <w:del w:id="88" w:author="Pettersson Mirkka" w:date="2024-09-17T08:08:00Z">
            <w:r w:rsidDel="00A9479A">
              <w:delText>23.1.2024</w:delText>
            </w:r>
          </w:del>
          <w:ins w:id="89" w:author="Pettersson Mirkka" w:date="2024-09-20T10:03:00Z">
            <w:r w:rsidR="00B25C66">
              <w:t>20</w:t>
            </w:r>
          </w:ins>
          <w:ins w:id="90" w:author="Pettersson Mirkka" w:date="2024-09-17T08:08:00Z">
            <w:r w:rsidR="00A9479A">
              <w:t>.9.2024</w:t>
            </w:r>
          </w:ins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0D55D71D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del w:id="91" w:author="Pettersson Mirkka" w:date="2024-09-17T08:07:00Z">
      <w:r w:rsidR="00A9479A" w:rsidDel="00A9479A">
        <w:fldChar w:fldCharType="begin"/>
      </w:r>
      <w:r w:rsidR="00A9479A" w:rsidDel="00A9479A">
        <w:delInstrText xml:space="preserve"> DOCPROPERTY  VersioNro  \* MERGEFORMAT </w:delInstrText>
      </w:r>
      <w:r w:rsidR="00A9479A" w:rsidDel="00A9479A">
        <w:fldChar w:fldCharType="separate"/>
      </w:r>
      <w:r w:rsidR="00FE1FE7" w:rsidDel="00A9479A">
        <w:delText>4.</w:delText>
      </w:r>
      <w:r w:rsidR="007F5218" w:rsidDel="00A9479A">
        <w:delText>2</w:delText>
      </w:r>
      <w:r w:rsidR="00FE1FE7" w:rsidDel="00A9479A">
        <w:delText>.1.</w:delText>
      </w:r>
      <w:r w:rsidR="00A9479A" w:rsidDel="00A9479A">
        <w:fldChar w:fldCharType="end"/>
      </w:r>
    </w:del>
    <w:ins w:id="92" w:author="Pettersson Mirkka" w:date="2024-09-17T08:07:00Z">
      <w:r w:rsidR="00A9479A">
        <w:t>4.3.0</w:t>
      </w:r>
    </w:ins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1A4CE271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del w:id="93" w:author="Pettersson Mirkka" w:date="2024-09-17T08:07:00Z">
      <w:r w:rsidR="007F5218" w:rsidDel="00A9479A">
        <w:delText>23.1.2024</w:delText>
      </w:r>
    </w:del>
    <w:ins w:id="94" w:author="Pettersson Mirkka" w:date="2024-09-20T10:03:00Z">
      <w:r w:rsidR="00B25C66">
        <w:t>20</w:t>
      </w:r>
    </w:ins>
    <w:ins w:id="95" w:author="Pettersson Mirkka" w:date="2024-09-17T08:07:00Z">
      <w:r w:rsidR="00A9479A">
        <w:t>.9.2024</w:t>
      </w:r>
    </w:ins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14CD0FF5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r w:rsidR="00B25C66">
      <w:fldChar w:fldCharType="begin"/>
    </w:r>
    <w:r w:rsidR="00B25C66">
      <w:instrText xml:space="preserve"> DOCPROPERTY  VersioNro  \* MERGEFORMAT </w:instrText>
    </w:r>
    <w:r w:rsidR="00B25C66">
      <w:fldChar w:fldCharType="separate"/>
    </w:r>
    <w:r>
      <w:t>4.00</w:t>
    </w:r>
    <w:r w:rsidR="00B25C66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38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299"/>
      <w:gridCol w:w="575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>Versio 4.00</w:t>
          </w:r>
        </w:p>
      </w:tc>
      <w:tc>
        <w:tcPr>
          <w:tcW w:w="1080" w:type="dxa"/>
        </w:tcPr>
        <w:p w14:paraId="2B1BD482" w14:textId="3943F5FF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>CDA R2 Header</w:t>
          </w:r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ttersson Mirkka">
    <w15:presenceInfo w15:providerId="AD" w15:userId="S::mirkka.pettersson@kela.fi::3aa3b28c-aee2-4662-b8c5-55413ab8ec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9873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6C2C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276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D7726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96F"/>
    <w:rsid w:val="00214B1C"/>
    <w:rsid w:val="00220911"/>
    <w:rsid w:val="00220FB1"/>
    <w:rsid w:val="00221736"/>
    <w:rsid w:val="002222BD"/>
    <w:rsid w:val="0022276C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47A60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1EF"/>
    <w:rsid w:val="00483C6D"/>
    <w:rsid w:val="00485433"/>
    <w:rsid w:val="00487FEF"/>
    <w:rsid w:val="004910A4"/>
    <w:rsid w:val="00495222"/>
    <w:rsid w:val="00497E89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5D03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59D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3831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5218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30B5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14B6"/>
    <w:rsid w:val="00882A83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86D07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479A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AE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5C6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97F7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10DD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128F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22B8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D711C"/>
    <w:rsid w:val="00FE03FD"/>
    <w:rsid w:val="00FE1FE7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kanta.fi/jarjestelmakehittajat/sahkoisen-allekirjoituksen-maarittely" TargetMode="External"/><Relationship Id="rId25" Type="http://schemas.openxmlformats.org/officeDocument/2006/relationships/footer" Target="footer1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yperlink" Target="https://www.kanta.fi/jarjestelmakehittajat/resepti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a it-palvelujen järjestelmädokumentaatio" ma:contentTypeID="0x010100B5B0C7C8E89E4B24A1DD48391A5B64DF00104209A661E54CD587BC7C170A805A750F00F58B2F090C2C514D89A65EA55AFE1082" ma:contentTypeVersion="3" ma:contentTypeDescription="Luo uusi asiakirja." ma:contentTypeScope="" ma:versionID="f0fcb769b1ae337b95971d49a7bf794e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56667d4fcc77f6303a9b8f52db9384b6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c6ed0155a29547668b4ffc5b69ef0ab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readOnly="false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cc944fd-388b-46ca-9e94-270a2230614e}" ma:internalName="TaxCatchAll" ma:showField="CatchAllData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cc944fd-388b-46ca-9e94-270a2230614e}" ma:internalName="TaxCatchAllLabel" ma:readOnly="true" ma:showField="CatchAllDataLabel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Sähköinen resepti|956f2e6b-336d-49b4-a312-1e24e6f3ee35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Sähköinen resepti|ec27a2dd-b12d-4daa-aef8-24cc16d0b111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e5c34f0f-4db0-46e6-8fc3-8840c899e5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c6ed0155a29547668b4ffc5b69ef0ab2" ma:index="33" nillable="true" ma:taxonomy="true" ma:internalName="c6ed0155a29547668b4ffc5b69ef0ab2" ma:taxonomyFieldName="KelaJarjestelmadokumentti" ma:displayName="Järjestelmädokumentti" ma:fieldId="{c6ed0155-a295-4766-8b4f-fc5b69ef0ab2}" ma:sspId="4c5c86b2-34ba-4440-84a3-2847672c608a" ma:termSetId="3db74f8a-6d72-4ebb-afb7-13312dabce0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4c5c86b2-34ba-4440-84a3-2847672c608a" ContentTypeId="0x010100B5B0C7C8E89E4B24A1DD48391A5B64DF00104209A661E54CD587BC7C170A805A750F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Sähköinen resepti</TermName>
          <TermId xmlns="http://schemas.microsoft.com/office/infopath/2007/PartnerControls">956f2e6b-336d-49b4-a312-1e24e6f3ee35</TermId>
        </TermInfo>
      </Terms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V4.3.0</TermName>
          <TermId xmlns="http://schemas.microsoft.com/office/infopath/2007/PartnerControls">a80f8a68-d006-44bc-8437-4a065d520441</TermId>
        </TermInfo>
      </Terms>
    </j875f3fda00345e6808e9e260f685289>
    <TaxCatchAll xmlns="28d5f0a3-ab75-4f37-b21c-c5486e890318">
      <Value>149</Value>
      <Value>230</Value>
      <Value>22</Value>
      <Value>21</Value>
      <Value>20</Value>
      <Value>19</Value>
      <Value>17</Value>
    </TaxCatchAll>
    <c6ed0155a29547668b4ffc5b69ef0ab2 xmlns="28d5f0a3-ab75-4f37-b21c-c5486e890318">
      <Terms xmlns="http://schemas.microsoft.com/office/infopath/2007/PartnerControls"/>
    </c6ed0155a29547668b4ffc5b69ef0ab2>
  </documentManagement>
</p:properties>
</file>

<file path=customXml/itemProps1.xml><?xml version="1.0" encoding="utf-8"?>
<ds:datastoreItem xmlns:ds="http://schemas.openxmlformats.org/officeDocument/2006/customXml" ds:itemID="{1E9C3D3F-D592-48AB-839F-1322D476D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2BC96F-BE61-40A4-96A5-11C6AF0FD0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99CADA-0E18-4E57-B3D1-DA18F4042F6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CC0BCAC-8F88-4804-A161-0AADD6609FC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28d5f0a3-ab75-4f37-b21c-c5486e89031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4694</Words>
  <Characters>47858</Characters>
  <Application>Microsoft Office Word</Application>
  <DocSecurity>0</DocSecurity>
  <Lines>398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52448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Pettersson Mirkka</cp:lastModifiedBy>
  <cp:revision>3</cp:revision>
  <cp:lastPrinted>2010-03-15T13:13:00Z</cp:lastPrinted>
  <dcterms:created xsi:type="dcterms:W3CDTF">2024-09-17T05:20:00Z</dcterms:created>
  <dcterms:modified xsi:type="dcterms:W3CDTF">2024-09-20T07:03:00Z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0x010100B5B0C7C8E89E4B24A1DD48391A5B64DF00104209A661E54CD587BC7C170A805A750F00F58B2F090C2C514D89A65EA55AFE1082</vt:lpwstr>
  </property>
  <property fmtid="{D5CDD505-2E9C-101B-9397-08002B2CF9AE}" pid="7" name="TaxKeyword">
    <vt:lpwstr/>
  </property>
  <property fmtid="{D5CDD505-2E9C-101B-9397-08002B2CF9AE}" pid="8" name="KelaOmaLuokitus">
    <vt:lpwstr>230;#V4.3.0|a80f8a68-d006-44bc-8437-4a065d520441</vt:lpwstr>
  </property>
  <property fmtid="{D5CDD505-2E9C-101B-9397-08002B2CF9AE}" pid="9" name="KelaNavigaatiotermi">
    <vt:lpwstr>22;#Reseptin projektit|3761bfbb-ba12-44ff-a4f6-bc560e2f79f9</vt:lpwstr>
  </property>
  <property fmtid="{D5CDD505-2E9C-101B-9397-08002B2CF9AE}" pid="10" name="KelaProjekti">
    <vt:lpwstr>21;#Reseptin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19;#Ei|4da38706-6322-4438-8e0a-a80ce46c1d74</vt:lpwstr>
  </property>
  <property fmtid="{D5CDD505-2E9C-101B-9397-08002B2CF9AE}" pid="14" name="KelaTyoryhma">
    <vt:lpwstr>17;#Sähköinen resepti|956f2e6b-336d-49b4-a312-1e24e6f3ee35</vt:lpwstr>
  </property>
  <property fmtid="{D5CDD505-2E9C-101B-9397-08002B2CF9AE}" pid="15" name="KelaSinettiLuokka">
    <vt:lpwstr>20;#Projektidokumentaatio|46a885a8-d012-4ce3-9e3d-2c376f037c4d</vt:lpwstr>
  </property>
  <property fmtid="{D5CDD505-2E9C-101B-9397-08002B2CF9AE}" pid="16" name="KelaDokumenttiluokka">
    <vt:lpwstr>149;#Reseptin määrittelyt_HL7|1bae9729-4396-4b7c-81eb-cb3f06c9c8f6</vt:lpwstr>
  </property>
  <property fmtid="{D5CDD505-2E9C-101B-9397-08002B2CF9AE}" pid="17" name="KelaAsiasanat">
    <vt:lpwstr/>
  </property>
  <property fmtid="{D5CDD505-2E9C-101B-9397-08002B2CF9AE}" pid="18" name="KelaJarjestelmadokumentti">
    <vt:lpwstr/>
  </property>
</Properties>
</file>